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4" w:rsidRPr="00EF2E31" w:rsidRDefault="001C2554" w:rsidP="001C255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F2E31">
        <w:rPr>
          <w:rFonts w:ascii="Times New Roman" w:hAnsi="Times New Roman" w:cs="Times New Roman"/>
          <w:b/>
          <w:sz w:val="32"/>
        </w:rPr>
        <w:t>МБОУ гимназия №5 – участник сетевого профориентационного проекта «Профи-дебют: масштаб – город»</w:t>
      </w:r>
    </w:p>
    <w:p w:rsidR="001C2554" w:rsidRPr="00EF2E31" w:rsidRDefault="001C255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>Каждый школьник должен знать, что рынок образовательных услуг предлагает на выбор огромное количество вариантов получения профессии. Значительные изменения происходят в структуре самих образовательных учреждений: появилась целая группа колледжей и техникумов, созданных на базе бывших ПТУ,  они сохранили в своей структуре подразделения начального профессионального образования. В настоящее время происходит рост числа подразделений среднего профессионального образования в составе высших учебных заведений. Наконец, появилась потребность в современных рабочих кадрах, без которых невозможно развитие инновационной экономики нашего региона и всей  страны. Общепризнанно, что в информационно-технологическом обществе ХХ</w:t>
      </w:r>
      <w:proofErr w:type="gramStart"/>
      <w:r w:rsidRPr="00EF2E3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F2E31">
        <w:rPr>
          <w:rFonts w:ascii="Times New Roman" w:hAnsi="Times New Roman" w:cs="Times New Roman"/>
          <w:sz w:val="28"/>
          <w:szCs w:val="28"/>
        </w:rPr>
        <w:t xml:space="preserve"> века определяющим в конкуренции государств будет уровень образования, науки, создание условий для реализации и развития прогрессивных технологий. В связи с этим важная роль отводится проблеме профильного обучения, которая находится в русле основных мировых тенденций поисков оптимальных путей её решений.</w:t>
      </w:r>
    </w:p>
    <w:p w:rsidR="001C2554" w:rsidRPr="00EF2E31" w:rsidRDefault="001C255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E4">
        <w:rPr>
          <w:rFonts w:ascii="Times New Roman" w:hAnsi="Times New Roman" w:cs="Times New Roman"/>
          <w:b/>
          <w:sz w:val="28"/>
          <w:szCs w:val="28"/>
        </w:rPr>
        <w:t>Главными целями</w:t>
      </w:r>
      <w:r w:rsidRPr="00EF2E31">
        <w:rPr>
          <w:rFonts w:ascii="Times New Roman" w:hAnsi="Times New Roman" w:cs="Times New Roman"/>
          <w:sz w:val="28"/>
          <w:szCs w:val="28"/>
        </w:rPr>
        <w:t xml:space="preserve"> профильного обучения выступает получение учащимися общедоступного полноценного образования в соответствии с их индивидуальными склонностями и потребностями, обеспечение профессиональной ориентации и самоопределения, установление преемственности между общим и профессиональным образованием. Таким образом, одной из важнейших составляющих содержания среднего образования является оказание психолого-педагогической поддержки школьникам в осознанном выборе будущей профессии.</w:t>
      </w:r>
    </w:p>
    <w:p w:rsidR="001C2554" w:rsidRPr="00EF2E31" w:rsidRDefault="001C255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В связи в этим, с 2006-2007 учебного года по инициативе </w:t>
      </w:r>
      <w:proofErr w:type="gramStart"/>
      <w:r w:rsidRPr="00EF2E31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Екатеринбурга</w:t>
      </w:r>
      <w:proofErr w:type="gramEnd"/>
      <w:r w:rsidRPr="00EF2E3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реализуется сетевой профориентационный проект «Профи-дебют: масштаб – город». Его содержание определяется целями и задачами развития системы общего образования города. </w:t>
      </w:r>
    </w:p>
    <w:p w:rsidR="001C2554" w:rsidRPr="00EF2E31" w:rsidRDefault="001C255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lastRenderedPageBreak/>
        <w:t>МБОУ гимназия №5 является участником данного проекта с 2012 г. и видит главное его назначение в предоставлении школьникам, работникам системы образования и их партнерам из других социальных сфер города возможности для поддержания профессионального самоопределения юного поколения в нынешней ситуации.</w:t>
      </w:r>
    </w:p>
    <w:p w:rsidR="001C2554" w:rsidRPr="00EF2E31" w:rsidRDefault="001C255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F2E31">
        <w:rPr>
          <w:rFonts w:ascii="Times New Roman" w:hAnsi="Times New Roman" w:cs="Times New Roman"/>
          <w:sz w:val="28"/>
          <w:szCs w:val="28"/>
        </w:rPr>
        <w:t>: </w:t>
      </w:r>
      <w:r w:rsidR="001010BE" w:rsidRPr="00EF2E31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 w:rsidR="001010BE" w:rsidRPr="00EF2E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010BE" w:rsidRPr="00EF2E31">
        <w:rPr>
          <w:rFonts w:ascii="Times New Roman" w:hAnsi="Times New Roman" w:cs="Times New Roman"/>
          <w:sz w:val="28"/>
          <w:szCs w:val="28"/>
        </w:rPr>
        <w:t xml:space="preserve"> работы со школьниками за счет использования специализированных </w:t>
      </w:r>
      <w:proofErr w:type="spellStart"/>
      <w:r w:rsidR="001010BE" w:rsidRPr="00EF2E3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010BE" w:rsidRPr="00EF2E31">
        <w:rPr>
          <w:rFonts w:ascii="Times New Roman" w:hAnsi="Times New Roman" w:cs="Times New Roman"/>
          <w:sz w:val="28"/>
          <w:szCs w:val="28"/>
        </w:rPr>
        <w:t xml:space="preserve"> ресурсов сетевого взаимодействия образовательных учреждений с профессионально-производственным окружением в интересах реального сектора экономики города Екатеринбурга и внедрения комплекса организационно-методического сопровождения его участни</w:t>
      </w:r>
      <w:r w:rsidR="00A54087" w:rsidRPr="00EF2E31">
        <w:rPr>
          <w:rFonts w:ascii="Times New Roman" w:hAnsi="Times New Roman" w:cs="Times New Roman"/>
          <w:sz w:val="28"/>
          <w:szCs w:val="28"/>
        </w:rPr>
        <w:t>к</w:t>
      </w:r>
      <w:r w:rsidR="001010BE" w:rsidRPr="00EF2E31">
        <w:rPr>
          <w:rFonts w:ascii="Times New Roman" w:hAnsi="Times New Roman" w:cs="Times New Roman"/>
          <w:sz w:val="28"/>
          <w:szCs w:val="28"/>
        </w:rPr>
        <w:t>ов.</w:t>
      </w:r>
    </w:p>
    <w:p w:rsidR="001010BE" w:rsidRPr="00EF2E31" w:rsidRDefault="001010BE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>Сегодня участниками проекта являются школьники 8-11 классов, их родители и педагоги гимназии. Количество участников проекта с 2012 г. выро</w:t>
      </w:r>
      <w:r w:rsidR="0010664F">
        <w:rPr>
          <w:rFonts w:ascii="Times New Roman" w:hAnsi="Times New Roman" w:cs="Times New Roman"/>
          <w:sz w:val="28"/>
          <w:szCs w:val="28"/>
        </w:rPr>
        <w:t>сло в 2 раза. В период с 2012-2</w:t>
      </w:r>
      <w:r w:rsidR="0010664F" w:rsidRPr="0010664F">
        <w:rPr>
          <w:rFonts w:ascii="Times New Roman" w:hAnsi="Times New Roman" w:cs="Times New Roman"/>
          <w:sz w:val="28"/>
          <w:szCs w:val="28"/>
        </w:rPr>
        <w:t>018</w:t>
      </w:r>
      <w:r w:rsidRPr="00EF2E31">
        <w:rPr>
          <w:rFonts w:ascii="Times New Roman" w:hAnsi="Times New Roman" w:cs="Times New Roman"/>
          <w:sz w:val="28"/>
          <w:szCs w:val="28"/>
        </w:rPr>
        <w:t xml:space="preserve"> гг. участники проекта посетили </w:t>
      </w:r>
      <w:r w:rsidR="00AD0978">
        <w:rPr>
          <w:rFonts w:ascii="Times New Roman" w:hAnsi="Times New Roman" w:cs="Times New Roman"/>
          <w:sz w:val="28"/>
          <w:szCs w:val="28"/>
        </w:rPr>
        <w:t>1</w:t>
      </w:r>
      <w:r w:rsidR="0010664F" w:rsidRPr="0010664F">
        <w:rPr>
          <w:rFonts w:ascii="Times New Roman" w:hAnsi="Times New Roman" w:cs="Times New Roman"/>
          <w:sz w:val="28"/>
          <w:szCs w:val="28"/>
        </w:rPr>
        <w:t>3</w:t>
      </w:r>
      <w:r w:rsidRPr="00EF2E31">
        <w:rPr>
          <w:rFonts w:ascii="Times New Roman" w:hAnsi="Times New Roman" w:cs="Times New Roman"/>
          <w:sz w:val="28"/>
          <w:szCs w:val="28"/>
        </w:rPr>
        <w:t xml:space="preserve"> ВУЗов, среди которых Уральский федеральный университет имени первого Президента России </w:t>
      </w:r>
      <w:proofErr w:type="spellStart"/>
      <w:r w:rsidRPr="00EF2E31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EF2E31">
        <w:rPr>
          <w:rFonts w:ascii="Times New Roman" w:hAnsi="Times New Roman" w:cs="Times New Roman"/>
          <w:sz w:val="28"/>
          <w:szCs w:val="28"/>
        </w:rPr>
        <w:t>, Уральский государственный экономический университет, Уральский государственный аграрный у</w:t>
      </w:r>
      <w:r w:rsidR="00A54087" w:rsidRPr="00EF2E31">
        <w:rPr>
          <w:rFonts w:ascii="Times New Roman" w:hAnsi="Times New Roman" w:cs="Times New Roman"/>
          <w:sz w:val="28"/>
          <w:szCs w:val="28"/>
        </w:rPr>
        <w:t>н</w:t>
      </w:r>
      <w:r w:rsidRPr="00EF2E31">
        <w:rPr>
          <w:rFonts w:ascii="Times New Roman" w:hAnsi="Times New Roman" w:cs="Times New Roman"/>
          <w:sz w:val="28"/>
          <w:szCs w:val="28"/>
        </w:rPr>
        <w:t>ивер</w:t>
      </w:r>
      <w:r w:rsidR="00E7605C">
        <w:rPr>
          <w:rFonts w:ascii="Times New Roman" w:hAnsi="Times New Roman" w:cs="Times New Roman"/>
          <w:sz w:val="28"/>
          <w:szCs w:val="28"/>
        </w:rPr>
        <w:t>с</w:t>
      </w:r>
      <w:r w:rsidRPr="00EF2E31">
        <w:rPr>
          <w:rFonts w:ascii="Times New Roman" w:hAnsi="Times New Roman" w:cs="Times New Roman"/>
          <w:sz w:val="28"/>
          <w:szCs w:val="28"/>
        </w:rPr>
        <w:t xml:space="preserve">итет, Уральский государственный горный университет, 8 учреждений начального, среднего профессионального образования, такие как Уральский государственный </w:t>
      </w:r>
      <w:proofErr w:type="gramStart"/>
      <w:r w:rsidRPr="00EF2E31">
        <w:rPr>
          <w:rFonts w:ascii="Times New Roman" w:hAnsi="Times New Roman" w:cs="Times New Roman"/>
          <w:sz w:val="28"/>
          <w:szCs w:val="28"/>
        </w:rPr>
        <w:t>колледж</w:t>
      </w:r>
      <w:proofErr w:type="gramEnd"/>
      <w:r w:rsidRPr="00EF2E3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EF2E31">
        <w:rPr>
          <w:rFonts w:ascii="Times New Roman" w:hAnsi="Times New Roman" w:cs="Times New Roman"/>
          <w:sz w:val="28"/>
          <w:szCs w:val="28"/>
        </w:rPr>
        <w:t>И.И.</w:t>
      </w:r>
      <w:r w:rsidR="00AD0978">
        <w:rPr>
          <w:rFonts w:ascii="Times New Roman" w:hAnsi="Times New Roman" w:cs="Times New Roman"/>
          <w:sz w:val="28"/>
          <w:szCs w:val="28"/>
        </w:rPr>
        <w:t>П</w:t>
      </w:r>
      <w:r w:rsidRPr="00EF2E31">
        <w:rPr>
          <w:rFonts w:ascii="Times New Roman" w:hAnsi="Times New Roman" w:cs="Times New Roman"/>
          <w:sz w:val="28"/>
          <w:szCs w:val="28"/>
        </w:rPr>
        <w:t>олзунова</w:t>
      </w:r>
      <w:proofErr w:type="spellEnd"/>
      <w:r w:rsidRPr="00EF2E31">
        <w:rPr>
          <w:rFonts w:ascii="Times New Roman" w:hAnsi="Times New Roman" w:cs="Times New Roman"/>
          <w:sz w:val="28"/>
          <w:szCs w:val="28"/>
        </w:rPr>
        <w:t>, Техникум индустрии питания и услуг «Кулинар»;</w:t>
      </w:r>
      <w:r w:rsidR="00EF2E31">
        <w:rPr>
          <w:rFonts w:ascii="Times New Roman" w:hAnsi="Times New Roman" w:cs="Times New Roman"/>
          <w:sz w:val="28"/>
          <w:szCs w:val="28"/>
        </w:rPr>
        <w:t xml:space="preserve"> </w:t>
      </w:r>
      <w:r w:rsidR="00AD0978">
        <w:rPr>
          <w:rFonts w:ascii="Times New Roman" w:hAnsi="Times New Roman" w:cs="Times New Roman"/>
          <w:sz w:val="28"/>
          <w:szCs w:val="28"/>
        </w:rPr>
        <w:t>14</w:t>
      </w:r>
      <w:r w:rsidRPr="00EF2E31">
        <w:rPr>
          <w:rFonts w:ascii="Times New Roman" w:hAnsi="Times New Roman" w:cs="Times New Roman"/>
          <w:sz w:val="28"/>
          <w:szCs w:val="28"/>
        </w:rPr>
        <w:t xml:space="preserve"> предприятий города, в числе которых ТРЦ «Гринвич», Южное трамвайное депо, Прокуратуры Ленинского района</w:t>
      </w:r>
      <w:r w:rsidR="00AD0978">
        <w:rPr>
          <w:rFonts w:ascii="Times New Roman" w:hAnsi="Times New Roman" w:cs="Times New Roman"/>
          <w:sz w:val="28"/>
          <w:szCs w:val="28"/>
        </w:rPr>
        <w:t>, Библиотека Белинского, Информационный центр атомной энергии</w:t>
      </w:r>
      <w:r w:rsidRPr="00EF2E3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30D23" w:rsidRPr="00EF2E31" w:rsidRDefault="00930D23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реализации проекта осуществляется Екатеринбургский Центр психолого-педагогической поддержки </w:t>
      </w:r>
      <w:r w:rsidR="00EF2E31" w:rsidRPr="00EF2E3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F2E31">
        <w:rPr>
          <w:rFonts w:ascii="Times New Roman" w:hAnsi="Times New Roman" w:cs="Times New Roman"/>
          <w:sz w:val="28"/>
          <w:szCs w:val="28"/>
        </w:rPr>
        <w:t xml:space="preserve"> «Диалог».</w:t>
      </w:r>
    </w:p>
    <w:p w:rsidR="00930D23" w:rsidRPr="00EF2E31" w:rsidRDefault="00930D23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i/>
          <w:sz w:val="28"/>
          <w:szCs w:val="28"/>
        </w:rPr>
        <w:t>В основе инновационного управления партнерским взаимодействием участников лежит сетевое планирование и реализация проекта по трем этапам:</w:t>
      </w:r>
      <w:r w:rsidRPr="00EF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23" w:rsidRPr="00EF2E31" w:rsidRDefault="00930D23" w:rsidP="00EF2E31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I этап – посещение участниками проекта, ориентированными на обучение в   организациях высшего профессионального образования для участия </w:t>
      </w:r>
      <w:proofErr w:type="gramStart"/>
      <w:r w:rsidRPr="00EF2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E31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EF2E31">
        <w:rPr>
          <w:rFonts w:ascii="Times New Roman" w:hAnsi="Times New Roman" w:cs="Times New Roman"/>
          <w:sz w:val="28"/>
          <w:szCs w:val="28"/>
        </w:rPr>
        <w:t xml:space="preserve"> - классах, конкурсах, олимпиадах, деловых играх и других мероприятиях. </w:t>
      </w:r>
    </w:p>
    <w:p w:rsidR="00930D23" w:rsidRPr="00EF2E31" w:rsidRDefault="00930D23" w:rsidP="00EF2E31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lastRenderedPageBreak/>
        <w:t>II этап представляет собой выход заинтересованных участников на территорию организаций среднего  профессионального образования для осуществления профессиональной пробы. </w:t>
      </w:r>
    </w:p>
    <w:p w:rsidR="00930D23" w:rsidRPr="00EF2E31" w:rsidRDefault="00930D23" w:rsidP="00EF2E31">
      <w:pPr>
        <w:pStyle w:val="a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>III этап даёт возможность, участникам  посетить предприятия и познакомиться с профессиями и условиями будущей работы. Согласно плану он проводится в феврале месяце.</w:t>
      </w:r>
    </w:p>
    <w:p w:rsidR="00930D23" w:rsidRPr="00EF2E31" w:rsidRDefault="00930D23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Ценным отличием </w:t>
      </w:r>
      <w:r w:rsidR="00A54087" w:rsidRPr="00EF2E31">
        <w:rPr>
          <w:rFonts w:ascii="Times New Roman" w:hAnsi="Times New Roman" w:cs="Times New Roman"/>
          <w:sz w:val="28"/>
          <w:szCs w:val="28"/>
        </w:rPr>
        <w:t>посещений мероприятий проекта «Профи-дебют: масштаб-город» от традиционных экскурсий является то, что принимающая сторона организует «профессиональные пробы»</w:t>
      </w:r>
      <w:r w:rsidR="00EF2E31" w:rsidRPr="00EF2E31">
        <w:rPr>
          <w:rFonts w:ascii="Times New Roman" w:hAnsi="Times New Roman" w:cs="Times New Roman"/>
          <w:sz w:val="28"/>
          <w:szCs w:val="28"/>
        </w:rPr>
        <w:t xml:space="preserve">, </w:t>
      </w:r>
      <w:r w:rsidR="00855CE4" w:rsidRPr="00EF2E31">
        <w:rPr>
          <w:rFonts w:ascii="Times New Roman" w:hAnsi="Times New Roman" w:cs="Times New Roman"/>
          <w:sz w:val="28"/>
          <w:szCs w:val="28"/>
        </w:rPr>
        <w:t>помогающие</w:t>
      </w:r>
      <w:r w:rsidR="00EF2E31" w:rsidRPr="00EF2E31">
        <w:rPr>
          <w:rFonts w:ascii="Times New Roman" w:hAnsi="Times New Roman" w:cs="Times New Roman"/>
          <w:sz w:val="28"/>
          <w:szCs w:val="28"/>
        </w:rPr>
        <w:t xml:space="preserve"> школьникам реально почувствовать </w:t>
      </w:r>
      <w:r w:rsidR="00855CE4" w:rsidRPr="00EF2E31">
        <w:rPr>
          <w:rFonts w:ascii="Times New Roman" w:hAnsi="Times New Roman" w:cs="Times New Roman"/>
          <w:sz w:val="28"/>
          <w:szCs w:val="28"/>
        </w:rPr>
        <w:t>особенности</w:t>
      </w:r>
      <w:r w:rsidR="00EF2E31" w:rsidRPr="00EF2E31">
        <w:rPr>
          <w:rFonts w:ascii="Times New Roman" w:hAnsi="Times New Roman" w:cs="Times New Roman"/>
          <w:sz w:val="28"/>
          <w:szCs w:val="28"/>
        </w:rPr>
        <w:t xml:space="preserve"> той или иной профессии на практике. Успешность прохождения школьниками этапов проекта </w:t>
      </w:r>
      <w:r w:rsidR="00855CE4" w:rsidRPr="00EF2E31">
        <w:rPr>
          <w:rFonts w:ascii="Times New Roman" w:hAnsi="Times New Roman" w:cs="Times New Roman"/>
          <w:sz w:val="28"/>
          <w:szCs w:val="28"/>
        </w:rPr>
        <w:t>определяется</w:t>
      </w:r>
      <w:r w:rsidR="00EF2E31" w:rsidRPr="00EF2E31">
        <w:rPr>
          <w:rFonts w:ascii="Times New Roman" w:hAnsi="Times New Roman" w:cs="Times New Roman"/>
          <w:sz w:val="28"/>
          <w:szCs w:val="28"/>
        </w:rPr>
        <w:t xml:space="preserve"> целенаправленно организованным взаимодействием (взрослых и подростков) в процессе совместного профессионального выбора.</w:t>
      </w:r>
    </w:p>
    <w:p w:rsidR="00EF2E31" w:rsidRPr="00EF2E31" w:rsidRDefault="00EF2E31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>Работа учащихся в проекте «Профи-дебют: масштаб – город» по формированию образовательно-профессиональных планов строится с помощью «Дневника участника» с использованием диагностики профессиональной направленности. По результатам анкетирования 98 % старшеклассников оценивают проект как необходимый для определения своих про</w:t>
      </w:r>
      <w:r w:rsidR="00855CE4">
        <w:rPr>
          <w:rFonts w:ascii="Times New Roman" w:hAnsi="Times New Roman" w:cs="Times New Roman"/>
          <w:sz w:val="28"/>
          <w:szCs w:val="28"/>
        </w:rPr>
        <w:t>фессиональных возможностей и ан</w:t>
      </w:r>
      <w:r w:rsidRPr="00EF2E31">
        <w:rPr>
          <w:rFonts w:ascii="Times New Roman" w:hAnsi="Times New Roman" w:cs="Times New Roman"/>
          <w:sz w:val="28"/>
          <w:szCs w:val="28"/>
        </w:rPr>
        <w:t>ализа современного рынка труда. Понимание участников проекта своих профессиональных перспектив побуждает к поиску, и решающим элементом данной ситуации является готовность делать выбор профессии, востребованным на рынке труда своего родного города.</w:t>
      </w:r>
    </w:p>
    <w:p w:rsidR="00EF2E31" w:rsidRPr="00EF2E31" w:rsidRDefault="00EF2E31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разработаны информационно-методические материалы: буклеты – «городской профориентационный проект «Профи-дебют: масштаб – город», «Правильный выбор профессии – путь в карьеру», «Профессиональное самоопределение школьников». </w:t>
      </w:r>
    </w:p>
    <w:p w:rsidR="00EF2E31" w:rsidRPr="00EF2E31" w:rsidRDefault="00EF2E31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31">
        <w:rPr>
          <w:rFonts w:ascii="Times New Roman" w:hAnsi="Times New Roman" w:cs="Times New Roman"/>
          <w:sz w:val="28"/>
          <w:szCs w:val="28"/>
        </w:rPr>
        <w:t xml:space="preserve">Городской профориентационный проект «Профи-дебют: масштаб – город» - это эффективный способ поддержки среды профессионального выбора подростков и старших школьников, </w:t>
      </w:r>
      <w:r w:rsidR="00855CE4" w:rsidRPr="00EF2E31">
        <w:rPr>
          <w:rFonts w:ascii="Times New Roman" w:hAnsi="Times New Roman" w:cs="Times New Roman"/>
          <w:sz w:val="28"/>
          <w:szCs w:val="28"/>
        </w:rPr>
        <w:t>центром,</w:t>
      </w:r>
      <w:r w:rsidRPr="00EF2E31">
        <w:rPr>
          <w:rFonts w:ascii="Times New Roman" w:hAnsi="Times New Roman" w:cs="Times New Roman"/>
          <w:sz w:val="28"/>
          <w:szCs w:val="28"/>
        </w:rPr>
        <w:t xml:space="preserve"> которого является самоопределяющаяся личность.</w:t>
      </w:r>
    </w:p>
    <w:p w:rsidR="0089494B" w:rsidRPr="00855CE4" w:rsidRDefault="0089494B" w:rsidP="008949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855CE4">
        <w:rPr>
          <w:rFonts w:ascii="Times New Roman" w:hAnsi="Times New Roman" w:cs="Times New Roman"/>
          <w:sz w:val="32"/>
          <w:szCs w:val="32"/>
        </w:rPr>
        <w:lastRenderedPageBreak/>
        <w:t>Отчет по проекту «Профи-дебют: масштаб – город»  за 2016/2017 учебный год</w:t>
      </w:r>
    </w:p>
    <w:p w:rsidR="0089494B" w:rsidRPr="00EF2E31" w:rsidRDefault="0089494B" w:rsidP="0089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94B" w:rsidRPr="00855CE4" w:rsidRDefault="0089494B" w:rsidP="0089494B">
      <w:pPr>
        <w:jc w:val="center"/>
        <w:rPr>
          <w:rFonts w:ascii="Times New Roman" w:hAnsi="Times New Roman" w:cs="Times New Roman"/>
          <w:b/>
          <w:sz w:val="28"/>
        </w:rPr>
      </w:pPr>
      <w:r w:rsidRPr="00855CE4">
        <w:rPr>
          <w:rFonts w:ascii="Times New Roman" w:hAnsi="Times New Roman" w:cs="Times New Roman"/>
          <w:b/>
          <w:sz w:val="28"/>
          <w:lang w:val="en-US"/>
        </w:rPr>
        <w:t xml:space="preserve">I </w:t>
      </w:r>
      <w:r w:rsidRPr="00855CE4">
        <w:rPr>
          <w:rFonts w:ascii="Times New Roman" w:hAnsi="Times New Roman" w:cs="Times New Roman"/>
          <w:b/>
          <w:sz w:val="28"/>
        </w:rPr>
        <w:t>этап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690"/>
        <w:gridCol w:w="1690"/>
        <w:gridCol w:w="1690"/>
        <w:gridCol w:w="1690"/>
      </w:tblGrid>
      <w:tr w:rsidR="0089494B" w:rsidRPr="00855CE4" w:rsidTr="0042637A">
        <w:tc>
          <w:tcPr>
            <w:tcW w:w="675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Учреждение СПО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E4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</w:tr>
      <w:tr w:rsidR="0089494B" w:rsidRPr="00855CE4" w:rsidTr="0042637A">
        <w:tc>
          <w:tcPr>
            <w:tcW w:w="675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ФГБОУ ВПО Уральского государственного экономического университета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4B" w:rsidRPr="00855CE4" w:rsidTr="0042637A">
        <w:tc>
          <w:tcPr>
            <w:tcW w:w="675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12.11.2016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855CE4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855CE4" w:rsidTr="0042637A">
        <w:tc>
          <w:tcPr>
            <w:tcW w:w="675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«Уральского технического института связи и информатики»</w:t>
            </w:r>
          </w:p>
        </w:tc>
        <w:tc>
          <w:tcPr>
            <w:tcW w:w="1690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7.12.2016</w:t>
            </w:r>
          </w:p>
        </w:tc>
        <w:tc>
          <w:tcPr>
            <w:tcW w:w="1690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90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89494B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94B" w:rsidRDefault="0089494B" w:rsidP="0089494B">
      <w:pPr>
        <w:rPr>
          <w:rFonts w:ascii="Times New Roman" w:hAnsi="Times New Roman" w:cs="Times New Roman"/>
          <w:sz w:val="28"/>
        </w:rPr>
      </w:pPr>
    </w:p>
    <w:p w:rsidR="0089494B" w:rsidRDefault="0089494B" w:rsidP="0089494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55CE4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855CE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55CE4">
        <w:rPr>
          <w:rFonts w:ascii="Times New Roman" w:hAnsi="Times New Roman" w:cs="Times New Roman"/>
          <w:b/>
          <w:sz w:val="28"/>
        </w:rPr>
        <w:t>этап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690"/>
        <w:gridCol w:w="1690"/>
        <w:gridCol w:w="1690"/>
        <w:gridCol w:w="1690"/>
      </w:tblGrid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Учреждение ВПО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 Физико-технологический университет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ФГБОУ ВПО «Екатеринбургский театральный университет»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Уральский горный университет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Гуманитарный университет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Образовательном марафоне. Выход в гимназию представителей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 центра «Образование за рубежом»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  <w:proofErr w:type="gram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Образовательном марафоне. Выход в гимназию </w:t>
            </w:r>
            <w:r w:rsidRPr="0064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центра «Образование за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рубежом</w:t>
            </w:r>
            <w:proofErr w:type="gram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spellEnd"/>
            <w:proofErr w:type="gram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в Чехии)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proofErr w:type="gram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 10г,в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, институт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радиэлектроники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, институт гуманитарных наук и искусств ИГНИ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образовательное учреждение Уральский юридический институт МВД России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94B" w:rsidRPr="0064600E" w:rsidRDefault="0089494B" w:rsidP="0089494B">
      <w:pPr>
        <w:jc w:val="center"/>
        <w:rPr>
          <w:rFonts w:ascii="Times New Roman" w:hAnsi="Times New Roman" w:cs="Times New Roman"/>
          <w:b/>
          <w:sz w:val="28"/>
        </w:rPr>
      </w:pPr>
    </w:p>
    <w:p w:rsidR="0089494B" w:rsidRDefault="0089494B" w:rsidP="0089494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55CE4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855CE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855CE4">
        <w:rPr>
          <w:rFonts w:ascii="Times New Roman" w:hAnsi="Times New Roman" w:cs="Times New Roman"/>
          <w:b/>
          <w:sz w:val="28"/>
        </w:rPr>
        <w:t>этап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690"/>
        <w:gridCol w:w="1690"/>
        <w:gridCol w:w="1690"/>
        <w:gridCol w:w="1690"/>
      </w:tblGrid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Учреждение СПО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Библиотека Белинского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13.12. 2016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10а, 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Библиотека Белинского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16.12. 2016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9б, 9г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атомной энергии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2.02.2017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Областная станция переливания крови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3.02.2017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Екб</w:t>
            </w:r>
            <w:proofErr w:type="spellEnd"/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-центральный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8.02.2017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Ресторан «Савой»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Центр косметологии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4B" w:rsidRPr="0064600E" w:rsidTr="0042637A">
        <w:tc>
          <w:tcPr>
            <w:tcW w:w="675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Дом книги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89494B" w:rsidRPr="0064600E" w:rsidRDefault="0089494B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94B" w:rsidRDefault="0089494B">
      <w:pPr>
        <w:rPr>
          <w:rFonts w:ascii="Times New Roman" w:hAnsi="Times New Roman" w:cs="Times New Roman"/>
          <w:sz w:val="32"/>
          <w:szCs w:val="32"/>
        </w:rPr>
      </w:pPr>
    </w:p>
    <w:p w:rsidR="0089494B" w:rsidRDefault="008949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010BE" w:rsidRPr="00855CE4" w:rsidRDefault="00855CE4" w:rsidP="00855C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55CE4">
        <w:rPr>
          <w:rFonts w:ascii="Times New Roman" w:hAnsi="Times New Roman" w:cs="Times New Roman"/>
          <w:sz w:val="32"/>
          <w:szCs w:val="32"/>
        </w:rPr>
        <w:lastRenderedPageBreak/>
        <w:t>Отчет по проекту «Профи-дебют: масштаб – город»  за 201</w:t>
      </w:r>
      <w:r w:rsidR="0010664F" w:rsidRPr="0010664F">
        <w:rPr>
          <w:rFonts w:ascii="Times New Roman" w:hAnsi="Times New Roman" w:cs="Times New Roman"/>
          <w:sz w:val="32"/>
          <w:szCs w:val="32"/>
        </w:rPr>
        <w:t>7</w:t>
      </w:r>
      <w:r w:rsidRPr="00855CE4">
        <w:rPr>
          <w:rFonts w:ascii="Times New Roman" w:hAnsi="Times New Roman" w:cs="Times New Roman"/>
          <w:sz w:val="32"/>
          <w:szCs w:val="32"/>
        </w:rPr>
        <w:t>/201</w:t>
      </w:r>
      <w:r w:rsidR="0010664F" w:rsidRPr="0010664F">
        <w:rPr>
          <w:rFonts w:ascii="Times New Roman" w:hAnsi="Times New Roman" w:cs="Times New Roman"/>
          <w:sz w:val="32"/>
          <w:szCs w:val="32"/>
        </w:rPr>
        <w:t>8</w:t>
      </w:r>
      <w:r w:rsidRPr="00855CE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55CE4" w:rsidRDefault="00855CE4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10597" w:type="dxa"/>
        <w:tblInd w:w="-459" w:type="dxa"/>
        <w:tblLook w:val="04A0" w:firstRow="1" w:lastRow="0" w:firstColumn="1" w:lastColumn="0" w:noHBand="0" w:noVBand="1"/>
      </w:tblPr>
      <w:tblGrid>
        <w:gridCol w:w="1573"/>
        <w:gridCol w:w="3301"/>
        <w:gridCol w:w="1575"/>
        <w:gridCol w:w="2731"/>
        <w:gridCol w:w="1417"/>
      </w:tblGrid>
      <w:tr w:rsidR="00571F30" w:rsidTr="00571F30">
        <w:trPr>
          <w:trHeight w:val="7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ВПО/СПО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64600E" w:rsidRDefault="00571F30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64600E" w:rsidRDefault="00571F30" w:rsidP="0042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0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</w:tr>
      <w:tr w:rsidR="00571F30" w:rsidRPr="00B42AA1" w:rsidTr="00571F30">
        <w:trPr>
          <w:trHeight w:val="7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Образовательном марафоне. Выход в гимназию представителей </w:t>
            </w:r>
            <w:proofErr w:type="spellStart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, Обучение за рубежом, Гуманитарный университет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экономический университет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57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17.10. 201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1F30" w:rsidRPr="00B42AA1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ФГБОУ ВПО «Екатеринбургский театральный университет»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+10 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 профдиагностики-2017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21.10.2017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ФГАОУ ВПО "Уральский  федеральный университет  имени первого президента России Б.Н. Ельцина"</w:t>
            </w:r>
          </w:p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Физико-технологический институт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B42AA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связей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F3602E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2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ГАПОУ </w:t>
            </w:r>
            <w:proofErr w:type="gramStart"/>
            <w:r w:rsidRPr="00F3602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СО</w:t>
            </w:r>
            <w:proofErr w:type="gramEnd"/>
            <w:r w:rsidRPr="00F3602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"Уральский колледж строительства, архитектуры и предпринимательства"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2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ГБОУ СПО </w:t>
            </w:r>
            <w:proofErr w:type="gramStart"/>
            <w:r w:rsidRPr="00F3602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СО</w:t>
            </w:r>
            <w:proofErr w:type="gramEnd"/>
            <w:r w:rsidRPr="00F360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</w:t>
            </w: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Екатеринбургский торгово-экономический колледж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1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Западная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фильтровальная станция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1424E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1424E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по атомной энергии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центр «Екатеринбург»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B42AA1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1424E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Экономический калейдоскоп,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УрГЭУ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(школьный этап)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1424E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«Детская городская клиническая больница №9»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1424E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Типография «Форд-Диалог»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«Путь к успеху» (городской этап)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30" w:rsidRPr="00B42AA1" w:rsidTr="00571F3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Pr="00383D3B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в гимназию представителей учебного центра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MAXIMUM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(Навигатор поступления). Как успешно подготовиться к сдаче ЕГЭ.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30" w:rsidRDefault="00571F30" w:rsidP="00AF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64F" w:rsidRPr="0010664F" w:rsidRDefault="0010664F" w:rsidP="00EF2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664F" w:rsidRPr="0010664F" w:rsidSect="00EF2E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00C6"/>
    <w:multiLevelType w:val="hybridMultilevel"/>
    <w:tmpl w:val="D194D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54"/>
    <w:rsid w:val="001010BE"/>
    <w:rsid w:val="0010664F"/>
    <w:rsid w:val="001C2554"/>
    <w:rsid w:val="00571F30"/>
    <w:rsid w:val="0064600E"/>
    <w:rsid w:val="0067692D"/>
    <w:rsid w:val="00855CE4"/>
    <w:rsid w:val="0089494B"/>
    <w:rsid w:val="00930D23"/>
    <w:rsid w:val="00A54087"/>
    <w:rsid w:val="00AD0978"/>
    <w:rsid w:val="00C43425"/>
    <w:rsid w:val="00DA5B94"/>
    <w:rsid w:val="00E321BE"/>
    <w:rsid w:val="00E7605C"/>
    <w:rsid w:val="00E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2554"/>
    <w:rPr>
      <w:i/>
      <w:iCs/>
    </w:rPr>
  </w:style>
  <w:style w:type="character" w:customStyle="1" w:styleId="apple-converted-space">
    <w:name w:val="apple-converted-space"/>
    <w:basedOn w:val="a0"/>
    <w:rsid w:val="001C2554"/>
  </w:style>
  <w:style w:type="character" w:styleId="a5">
    <w:name w:val="Strong"/>
    <w:basedOn w:val="a0"/>
    <w:uiPriority w:val="22"/>
    <w:qFormat/>
    <w:rsid w:val="001C2554"/>
    <w:rPr>
      <w:b/>
      <w:bCs/>
    </w:rPr>
  </w:style>
  <w:style w:type="paragraph" w:styleId="a6">
    <w:name w:val="List Paragraph"/>
    <w:basedOn w:val="a"/>
    <w:uiPriority w:val="34"/>
    <w:qFormat/>
    <w:rsid w:val="00EF2E31"/>
    <w:pPr>
      <w:ind w:left="720"/>
      <w:contextualSpacing/>
    </w:pPr>
  </w:style>
  <w:style w:type="table" w:styleId="a7">
    <w:name w:val="Table Grid"/>
    <w:basedOn w:val="a1"/>
    <w:uiPriority w:val="59"/>
    <w:rsid w:val="0085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2554"/>
    <w:rPr>
      <w:i/>
      <w:iCs/>
    </w:rPr>
  </w:style>
  <w:style w:type="character" w:customStyle="1" w:styleId="apple-converted-space">
    <w:name w:val="apple-converted-space"/>
    <w:basedOn w:val="a0"/>
    <w:rsid w:val="001C2554"/>
  </w:style>
  <w:style w:type="character" w:styleId="a5">
    <w:name w:val="Strong"/>
    <w:basedOn w:val="a0"/>
    <w:uiPriority w:val="22"/>
    <w:qFormat/>
    <w:rsid w:val="001C2554"/>
    <w:rPr>
      <w:b/>
      <w:bCs/>
    </w:rPr>
  </w:style>
  <w:style w:type="paragraph" w:styleId="a6">
    <w:name w:val="List Paragraph"/>
    <w:basedOn w:val="a"/>
    <w:uiPriority w:val="34"/>
    <w:qFormat/>
    <w:rsid w:val="00EF2E31"/>
    <w:pPr>
      <w:ind w:left="720"/>
      <w:contextualSpacing/>
    </w:pPr>
  </w:style>
  <w:style w:type="table" w:styleId="a7">
    <w:name w:val="Table Grid"/>
    <w:basedOn w:val="a1"/>
    <w:uiPriority w:val="59"/>
    <w:rsid w:val="0085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2</cp:revision>
  <dcterms:created xsi:type="dcterms:W3CDTF">2018-04-17T18:52:00Z</dcterms:created>
  <dcterms:modified xsi:type="dcterms:W3CDTF">2018-04-17T18:52:00Z</dcterms:modified>
</cp:coreProperties>
</file>